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205</w:t>
      </w:r>
    </w:p>
    <w:p>
      <w:r>
        <w:t>Bundesgericht (BGE), 2014-12-03, DE</w:t>
      </w:r>
    </w:p>
    <w:p>
      <w:r>
        <w:rPr>
          <w:b/>
        </w:rPr>
        <w:t xml:space="preserve">Quelle: </w:t>
      </w:r>
      <w:r>
        <w:t>https://mcp.opencaselaw.ch/entscheid/bge_147 IV 205</w:t>
      </w:r>
    </w:p>
    <w:p>
      <w:r>
        <w:t>FR: ATF 147 IV 205</w:t>
      </w:r>
    </w:p>
    <w:p>
      <w:r>
        <w:t>IT: DTF 147 IV 205</w:t>
      </w:r>
    </w:p>
    <w:p>
      <w:pPr>
        <w:pStyle w:val="Heading2"/>
      </w:pPr>
      <w:r>
        <w:t>Regeste</w:t>
      </w:r>
    </w:p>
    <w:p>
      <w:r>
        <w:t>Regeste Art. 59 Abs. 4 StGB; Anordnung einer stationären therapeutischen Behandlung von psychischen Störungen nach rechtskräftiger Massnahmenaufhebung; Beginn der (Fünfjahres-)Frist. Wird nach einer rechtskräftigen Massnahmenaufhebung eine stationäre therapeutische Behandlung von psychischen Störungen (Art. 59 StGB) angeordnet und wird die Massnahme nicht aus der Freiheit heraus angetreten, ist für die (Fünfjahres-)Frist, wie bei der erstmaligen Massnahmenanordnung, grundsätzlich auf das Datum des in Rechtskraft erwachsenen Anordnungsentscheids abzustellen (E. 2.4).</w:t>
      </w:r>
    </w:p>
    <w:p>
      <w:pPr>
        <w:pStyle w:val="Heading2"/>
      </w:pPr>
      <w:r>
        <w:t>Erwägungen</w:t>
      </w:r>
    </w:p>
    <w:p>
      <w:r>
        <w:rPr>
          <w:b/>
        </w:rPr>
        <w:t>E. 2</w:t>
      </w:r>
    </w:p>
    <w:p>
      <w:r>
        <w:t>(...)</w:t>
      </w:r>
    </w:p>
    <w:p>
      <w:r>
        <w:rPr>
          <w:b/>
        </w:rPr>
        <w:t>E. 2.4.1</w:t>
      </w:r>
    </w:p>
    <w:p>
      <w:r>
        <w:t>Das Bundesgericht setzte sich in BGE 145 IV 65 ausführlich mit der Frage auseinander, wann die Fünfjahresfrist gemäss Art. 59 Abs. 4 Satz 1 StGB bzw. eine richterlich festgesetzte Frist zu laufen beginnt. Es entschied, dass für den Fristenlauf auf das Datum des in Rechtskraft erwachsenen Anordnungsentscheids abzustellen ist, wenn die Massnahme nicht aus der Freiheit heraus angetreten wird (ausführlich BGE 145 IV 65 , insb. E. 2.6 f. S. 68 ff.). Es hielt weiter fest, dass für die Verlängerung der stationären therapeutischen Massnahme nach Art. 59 Abs. 4 Satz 2 StGB der Zeitpunkt des Ablaufs der (Fünfjahres-)Frist gemäss Erstanordnung bzw. einer allfällig vorausgegangenen Verlängerung entscheidend ist. Letzteres gilt auch, wenn die gesetzliche oder richterliche Frist zum Zeitpunkt des (neuen) Verlängerungsentscheids noch nicht abgelaufen ist ( BGE 145 IV 65 E. 2.8 S. 77 f.). Das Bundesgericht rief zudem in Erinnerung, dass die Behörden das Gesuch um Verlängerung der Massnahme rechtzeitig, das heisst, vor Ablauf der Fünfjahresfrist gemäss Art. 59 Abs. 4 Satz 1 StGB bzw. einer entsprechenden richterlichen Frist stellen müssen. Der Verlängerungsentscheid müsse auf einer möglichst breiten und aussagekräftigen Beurteilungsgrundlage basieren sowie den Verhältnissen zum Zeitpunkt nach Ablauf der Massnahmendauer gemäss Erstanordnung Rechnung tragen. Es sei daher nicht zu beanstanden, wenn das Verlängerungsverfahren erst gegen Ende der maximal möglichen Dauer der stationären Massnahme eingeleitet werde. Im konkreten Fall beurteilte das Bundesgericht den mehr als ein Jahr vor Ablauf der Fünfjahresfrist erfolgten Antrag auf Verlängerung zwar als eher verfrüht, angesichts der konkreten Umstände jedoch im Ergebnis nicht zu beanstanden ( BGE 145 IV 65 E. 2.9 S. 79 f. mit Hinweisen). BGE 147 IV 205 S. 208</w:t>
      </w:r>
    </w:p>
    <w:p>
      <w:r>
        <w:rPr>
          <w:b/>
        </w:rPr>
        <w:t>E. 2.4.2</w:t>
      </w:r>
    </w:p>
    <w:p>
      <w:r>
        <w:t>Die vorliegend zu beurteilende Ausgangslage unterscheidet sich insofern von den im vorgenannten Bundesgerichtsentscheid beurteilten Konstellationen, als die mit Sachurteil vom 3. Dezember 2014 angeordnete stationäre therapeutische Behandlung von psychischen Störungen am 30. Oktober 2017 rechtskräftig wegen Aussichtslosigkeit aufgehoben und im darauffolgenden selbständigen nachträglichen Verfahren erneut eine Massnahme gemäss Art. 59 StGB angeordnet wurde. Zu beurteilen ist damit weder der Fristbeginn bei einer erstmaligen Anordnung der Massnahme noch bei deren Verlängerung. Die Argumente, die das Bundesgericht dazu bewogen, bei der erstmaligen Anordnung einer Massnahme gemäss Art. 59 StGB für den Fristenlauf auf das Datum des in Rechtskraft erwachsenen Anordnungsentscheids abzustellen, sofern die Massnahme nicht aus der Freiheit heraus angetreten wird, gelten jedoch auch für den Fall, in dem nach einer Massnahmenaufhebung und ausgestandener Sicherheitshaft wiederum eine Massnahme gemäss Art. 59 StGB angeordnet wird (vgl. BGE 145 IV 65 E. 2.6 S. 74 ff. mit Hinweisen). Auch sind die Erwägungen, die das Bundesgericht im vorgenannten Entscheid in Zusammenhang mit dem vorzeitigen Massnahmenvollzug gemacht hat, in der vorliegenden Konstellation für die Sicherheitshaft zwischen der Massnahmenaufhebung und der zweiten Massnahmenanordnung heranzuziehen: Befindet sich der Betroffene während des selbständigen nachträglichen Massnahmenverfahrens in Sicherheitshaft, hat das Gericht diese bei der Prüfung der Verhältnismässigkeit der stationären therapeutischen Behandlung von psychischen Störungen in zeitlicher Hinsicht mitzuberücksichtigen; dies sowohl bei der Prüfung der Anordnung der Massnahme als auch im Zusammenhang mit einem Gesuch um Verlängerung derselben (vgl. BGE 145 IV 65 E. 2.6.1 S. 74 mit Hinweisen). Als Zwischenfazit ist Folgendes festzuhalten: Wird nach einer rechtskräftigen Massnahmenaufhebung eine stationäre therapeutische Behandlung von psychischen Störungen ( Art. 59 StGB ) angeordnet und wird die Massnahme nicht aus der Freiheit heraus angetreten, ist für den Fristenlauf, wie bei der erstmaligen Massnahmenanordnung, auf das Datum des in Rechtskraft erwachsenen Anordnungsentscheids abzustellen. Das steht im Einklang mit der bisherigen Rechtsprechung des Bundesgerichts (vgl. BGE 145 IV 65 E. 2.7.1 S. 76; BGE 142 IV 105 E. 5.6 S. 114 und E. 5.9 S. 118).</w:t>
      </w:r>
    </w:p>
    <w:p>
      <w:r>
        <w:rPr>
          <w:b/>
        </w:rPr>
        <w:t>E. 2.4.3</w:t>
      </w:r>
    </w:p>
    <w:p>
      <w:r>
        <w:t>Vorliegend wäre für die Berechnung des Fristenlaufs auf das Datum des in Rechtskraft erwachsenen Anordnungsentscheids, mithin BGE 147 IV 205 S. 209 auf den 4. März 2019 abzustellen. Damit wäre die Verlängerung zu früh erfolgt (vgl. Urteil 6B_1023/2018 vom 17. Januar 2019 E. 1.4). Allerdings stellt sich die Vorinstanz auf den Standpunkt, das Kantonsgericht, das beim Anordnungsentscheid aus dem gleichen Richtergremium bestand wie beim angefochtenen Verlängerungsentscheid, habe im Anordnungsentscheid die stationäre therapeutische Massnahme rechtskräftig bis zum 30. Oktober 2020 befristet. Der Beschwerdeführer bestreitet dies. Trifft das Vorbringen der Vorinstanz zu, könnte angesichts der Rechtskraft des Anordnungsentscheids auf die Frage des Fristbeginns bzw. die Befristung im vorliegenden Verfahren nicht mehr zurückgekommen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